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0D101D56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9243D0">
        <w:rPr>
          <w:rFonts w:ascii="Arial" w:hAnsi="Arial" w:cs="Arial"/>
          <w:sz w:val="32"/>
          <w:szCs w:val="32"/>
          <w:u w:val="single"/>
        </w:rPr>
        <w:t>9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0B0F58C7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243D0"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4A1D40CB" w:rsidR="00390004" w:rsidRPr="00E63544" w:rsidRDefault="00E63544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544">
              <w:rPr>
                <w:rFonts w:ascii="Arial" w:hAnsi="Arial" w:cs="Arial"/>
                <w:sz w:val="22"/>
                <w:szCs w:val="22"/>
              </w:rPr>
              <w:t>CONSTRUCTION OF 142 BNG HOUSES IN SIYATHEMBA FOR THE GAMAGARA LM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77D9B45E" w:rsidR="00390004" w:rsidRPr="00BA26A3" w:rsidRDefault="009243D0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NTG SOLUTIONS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4142550A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9243D0">
              <w:rPr>
                <w:rFonts w:ascii="Arial Narrow" w:hAnsi="Arial Narrow" w:cs="Arial"/>
                <w:sz w:val="22"/>
                <w:szCs w:val="22"/>
              </w:rPr>
              <w:t>8 192 019.00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332A1111" w:rsidR="00390004" w:rsidRDefault="001115BA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9243D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AB23" w14:textId="77777777" w:rsidR="009A4CAE" w:rsidRDefault="009A4CAE">
      <w:r>
        <w:separator/>
      </w:r>
    </w:p>
  </w:endnote>
  <w:endnote w:type="continuationSeparator" w:id="0">
    <w:p w14:paraId="20F0EBDB" w14:textId="77777777" w:rsidR="009A4CAE" w:rsidRDefault="009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DE36" w14:textId="77777777" w:rsidR="009A4CAE" w:rsidRDefault="009A4CAE">
      <w:r>
        <w:separator/>
      </w:r>
    </w:p>
  </w:footnote>
  <w:footnote w:type="continuationSeparator" w:id="0">
    <w:p w14:paraId="5887A346" w14:textId="77777777" w:rsidR="009A4CAE" w:rsidRDefault="009A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1D9B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3D0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4CAE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3</cp:revision>
  <cp:lastPrinted>2023-02-25T14:50:00Z</cp:lastPrinted>
  <dcterms:created xsi:type="dcterms:W3CDTF">2023-04-06T15:47:00Z</dcterms:created>
  <dcterms:modified xsi:type="dcterms:W3CDTF">2023-04-06T15:48:00Z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